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Calibri" w:cs="Calibri" w:eastAsia="Calibri" w:hAnsi="Calibri"/>
          <w:b/>
          <w:bCs/>
          <w:color w:val="16233A"/>
          <w:sz w:val="34"/>
          <w:szCs w:val="34"/>
        </w:rPr>
        <w:t xml:space="preserve">VERIFIED VOTE</w:t>
      </w:r>
    </w:p>
    <w:p>
      <w:pPr>
        <w:spacing w:after="26"/>
      </w:pPr>
      <w:r>
        <w:rPr>
          <w:rFonts w:ascii="Consolas" w:cs="Consolas" w:eastAsia="Consolas" w:hAnsi="Consolas"/>
          <w:color w:val="2E7D6B"/>
          <w:spacing w:val="16"/>
          <w:sz w:val="17"/>
          <w:szCs w:val="17"/>
        </w:rPr>
        <w:t xml:space="preserve">verify hard · then sever</w:t>
      </w:r>
    </w:p>
    <w:p>
      <w:pPr>
        <w:pBdr>
          <w:bottom w:val="single" w:color="B5472D" w:sz="12" w:space="8"/>
        </w:pBdr>
        <w:spacing w:after="150"/>
      </w:pPr>
      <w:r>
        <w:rPr>
          <w:rFonts w:ascii="Calibri" w:cs="Calibri" w:eastAsia="Calibri" w:hAnsi="Calibri"/>
          <w:b/>
          <w:bCs/>
          <w:color w:val="1E2A3A"/>
          <w:sz w:val="30"/>
          <w:szCs w:val="30"/>
        </w:rPr>
        <w:t xml:space="preserve">Build Roadmap — From Blueprint to Live System</w:t>
      </w:r>
    </w:p>
    <w:p>
      <w:pPr>
        <w:spacing w:after="170"/>
      </w:pPr>
      <w:r>
        <w:rPr>
          <w:rFonts w:ascii="Calibri" w:cs="Calibri" w:eastAsia="Calibri" w:hAnsi="Calibri"/>
          <w:i/>
          <w:iCs/>
          <w:color w:val="5C6674"/>
          <w:sz w:val="21"/>
          <w:szCs w:val="21"/>
        </w:rPr>
        <w:t xml:space="preserve">What a development team builds, in what order, and where the two expert reviews slot in. This is the bridge between the finished strategy-and-prototype kit and a certified, election-grade system.</w:t>
      </w:r>
    </w:p>
    <w:p>
      <w:pPr>
        <w:pBdr>
          <w:bottom w:val="single" w:color="D3D7CC" w:sz="8" w:space="6"/>
        </w:pBdr>
        <w:spacing w:after="110" w:before="300"/>
      </w:pPr>
      <w:r>
        <w:rPr>
          <w:rFonts w:ascii="Consolas" w:cs="Consolas" w:eastAsia="Consolas" w:hAnsi="Consolas"/>
          <w:b/>
          <w:bCs/>
          <w:color w:val="B5472D"/>
          <w:sz w:val="22"/>
          <w:szCs w:val="22"/>
        </w:rPr>
        <w:t xml:space="preserve">00  </w:t>
      </w:r>
      <w:r>
        <w:rPr>
          <w:rFonts w:ascii="Calibri" w:cs="Calibri" w:eastAsia="Calibri" w:hAnsi="Calibri"/>
          <w:b/>
          <w:bCs/>
          <w:color w:val="16233A"/>
          <w:sz w:val="27"/>
          <w:szCs w:val="27"/>
        </w:rPr>
        <w:t xml:space="preserve">Where this starts</w:t>
      </w:r>
    </w:p>
    <w:p>
      <w:pPr>
        <w:spacing w:after="140" w:line="278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You already hold the hard-to-produce parts: the full architecture, a working cryptographic reference implementation that runs and passes its checks, the front-end verification design, and the complete pitch and pilot materials. This roadmap turns that blueprint into software an election can stand on.</w:t>
      </w:r>
    </w:p>
    <w:p>
      <w:pPr>
        <w:pBdr>
          <w:left w:val="single" w:color="B5472D" w:sz="18" w:space="14"/>
        </w:pBdr>
        <w:spacing w:after="150" w:before="60"/>
        <w:ind w:left="220"/>
      </w:pPr>
      <w:r>
        <w:rPr>
          <w:rFonts w:ascii="Calibri" w:cs="Calibri" w:eastAsia="Calibri" w:hAnsi="Calibri"/>
          <w:i/>
          <w:iCs/>
          <w:color w:val="16233A"/>
          <w:sz w:val="22"/>
          <w:szCs w:val="22"/>
        </w:rPr>
        <w:t xml:space="preserve">Golden rule: do not hand-roll election cryptography. The reference code proves the math; production is built on vetted, audited components (RFC 9474, ElectionGuard). Reimplementing primitives from scratch is where verifiable-voting projects fail.</w:t>
      </w:r>
    </w:p>
    <w:p>
      <w:pPr>
        <w:pBdr>
          <w:bottom w:val="single" w:color="D3D7CC" w:sz="8" w:space="6"/>
        </w:pBdr>
        <w:spacing w:after="110" w:before="300"/>
      </w:pPr>
      <w:r>
        <w:rPr>
          <w:rFonts w:ascii="Consolas" w:cs="Consolas" w:eastAsia="Consolas" w:hAnsi="Consolas"/>
          <w:b/>
          <w:bCs/>
          <w:color w:val="B5472D"/>
          <w:sz w:val="22"/>
          <w:szCs w:val="22"/>
        </w:rPr>
        <w:t xml:space="preserve">01  </w:t>
      </w:r>
      <w:r>
        <w:rPr>
          <w:rFonts w:ascii="Calibri" w:cs="Calibri" w:eastAsia="Calibri" w:hAnsi="Calibri"/>
          <w:b/>
          <w:bCs/>
          <w:color w:val="16233A"/>
          <w:sz w:val="27"/>
          <w:szCs w:val="27"/>
        </w:rPr>
        <w:t xml:space="preserve">The build, in phases</w:t>
      </w:r>
    </w:p>
    <w:p>
      <w:pPr>
        <w:spacing w:after="140" w:line="278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Each phase produces something testable. Do them roughly in order; phases 2–4 can overlap once the token layer is stable.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2E7D6B"/>
          <w:sz w:val="22"/>
          <w:szCs w:val="22"/>
        </w:rPr>
        <w:t xml:space="preserve">Phase 1 — Harden the token layer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Replace the demo blind-signature code with an implementation of </w:t>
      </w: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RFC 9474 (RSA Blind Signatures)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, using a vetted crypto library — not hand-written primitives.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Enforce one-token-per-eligible-voter issuance and single-use spending at the ballot box (double-spend rejection).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Deliverable: a token service that issues, verifies, and spends anonymous eligibility credentials.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2E7D6B"/>
          <w:sz w:val="22"/>
          <w:szCs w:val="22"/>
        </w:rPr>
        <w:t xml:space="preserve">Phase 2 — Integrate the verifiable tally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Build the encrypted-ballot and tally layer on </w:t>
      </w: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ElectionGuard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 (open source, used in real U.S. elections): encrypted ballots, homomorphic aggregation, threshold guardians, zero-knowledge proofs.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Stand up the </w:t>
      </w: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public bulletin board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 — an append-only, published record of encrypted ballots, proofs, and the final tally, so anyone can verify.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Deliverable: cast → encrypt → publish → threshold-decrypt → verifiable tally, end to end.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2E7D6B"/>
          <w:sz w:val="22"/>
          <w:szCs w:val="22"/>
        </w:rPr>
        <w:t xml:space="preserve">Phase 3 — Build the verification front end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Enrollment engine: auto-match established voters; flag the rest to verify.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Integrate a </w:t>
      </w: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compliant remote identity-proofing / online-notarization provider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 for the video path (ID check + liveness + tamper-evident session), plus in-person and assisted paths.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On successful verification, emit </w:t>
      </w: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one bit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 (“eligible: yes”) to the token service — no identity crosses over. This is the sever step.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Build notice-and-cure: every flag carries an easy path to resolve, never a silent removal.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2E7D6B"/>
          <w:sz w:val="22"/>
          <w:szCs w:val="22"/>
        </w:rPr>
        <w:t xml:space="preserve">Phase 4 — Voter experience &amp; verification app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Voter UX for enroll → receive token → cast → receipt → verify inclusion → re-vote (adapt the existing voter-flow demo).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An independent verification app so voters can confirm their ballot reached the record.</w:t>
      </w:r>
    </w:p>
    <w:p>
      <w:pPr>
        <w:spacing w:after="70" w:before="170"/>
      </w:pPr>
      <w:r>
        <w:rPr>
          <w:rFonts w:ascii="Calibri" w:cs="Calibri" w:eastAsia="Calibri" w:hAnsi="Calibri"/>
          <w:b/>
          <w:bCs/>
          <w:color w:val="2E7D6B"/>
          <w:sz w:val="22"/>
          <w:szCs w:val="22"/>
        </w:rPr>
        <w:t xml:space="preserve">Phase 5 — Paper, audit &amp; operations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Produce a </w:t>
      </w: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voter-verifiable paper record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 and support a </w:t>
      </w: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risk-limiting audit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 against it — this is what makes the system software-independent and VVSG-aligned.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Key ceremony tooling for guardians; HSM-backed key custody; full audit logging.</w:t>
      </w:r>
    </w:p>
    <w:p>
      <w:r>
        <w:br w:type="page"/>
      </w:r>
    </w:p>
    <w:p>
      <w:pPr>
        <w:pBdr>
          <w:bottom w:val="single" w:color="D3D7CC" w:sz="8" w:space="6"/>
        </w:pBdr>
        <w:spacing w:after="110" w:before="300"/>
      </w:pPr>
      <w:r>
        <w:rPr>
          <w:rFonts w:ascii="Consolas" w:cs="Consolas" w:eastAsia="Consolas" w:hAnsi="Consolas"/>
          <w:b/>
          <w:bCs/>
          <w:color w:val="B5472D"/>
          <w:sz w:val="22"/>
          <w:szCs w:val="22"/>
        </w:rPr>
        <w:t xml:space="preserve">02  </w:t>
      </w:r>
      <w:r>
        <w:rPr>
          <w:rFonts w:ascii="Calibri" w:cs="Calibri" w:eastAsia="Calibri" w:hAnsi="Calibri"/>
          <w:b/>
          <w:bCs/>
          <w:color w:val="16233A"/>
          <w:sz w:val="27"/>
          <w:szCs w:val="27"/>
        </w:rPr>
        <w:t xml:space="preserve">The two reviews — where they slot in</w:t>
      </w:r>
    </w:p>
    <w:p>
      <w:pPr>
        <w:spacing w:after="140" w:line="278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Neither is optional before a binding election. Schedule them early; they shape the build, not just bless it.</w:t>
      </w:r>
    </w:p>
    <w:tbl>
      <w:tblPr>
        <w:tblW w:type="dxa" w:w="9000"/>
        <w:tblBorders>
          <w:top w:val="single" w:color="D3D7CC" w:sz="2"/>
          <w:left w:val="none"/>
          <w:bottom w:val="single" w:color="D3D7CC" w:sz="2"/>
          <w:right w:val="none"/>
          <w:insideH w:val="single" w:color="D3D7CC" w:sz="2"/>
          <w:insideV w:val="single" w:color="D3D7CC" w:sz="2"/>
        </w:tblBorders>
      </w:tblPr>
      <w:tblGrid>
        <w:gridCol w:w="2900"/>
        <w:gridCol w:w="2900"/>
        <w:gridCol w:w="3200"/>
      </w:tblGrid>
      <w:tr>
        <w:trPr>
          <w:tblHeader/>
        </w:trPr>
        <w:tc>
          <w:tcPr>
            <w:tcW w:type="dxa" w:w="2900"/>
            <w:shd w:fill="16233A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Review</w:t>
            </w:r>
          </w:p>
        </w:tc>
        <w:tc>
          <w:tcPr>
            <w:tcW w:type="dxa" w:w="2900"/>
            <w:shd w:fill="16233A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When</w:t>
            </w:r>
          </w:p>
        </w:tc>
        <w:tc>
          <w:tcPr>
            <w:tcW w:type="dxa" w:w="3200"/>
            <w:shd w:fill="16233A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What it covers</w:t>
            </w:r>
          </w:p>
        </w:tc>
      </w:tr>
      <w:tr>
        <w:tc>
          <w:tcPr>
            <w:tcW w:type="dxa" w:w="2900"/>
            <w:shd w:fill="FFFFFF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Cryptographer / protocol audit</w:t>
            </w:r>
          </w:p>
        </w:tc>
        <w:tc>
          <w:tcPr>
            <w:tcW w:type="dxa" w:w="2900"/>
            <w:shd w:fill="FFFFFF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After Phase 2 (token + tally stable); re-check before any binding use.</w:t>
            </w:r>
          </w:p>
        </w:tc>
        <w:tc>
          <w:tcPr>
            <w:tcW w:type="dxa" w:w="3200"/>
            <w:shd w:fill="FFFFFF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The blind-signature and threshold protocols, proof soundness, key management, the sever step.</w:t>
            </w:r>
          </w:p>
        </w:tc>
      </w:tr>
      <w:tr>
        <w:tc>
          <w:tcPr>
            <w:tcW w:type="dxa" w:w="2900"/>
            <w:shd w:fill="F2F4EE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Election-law counsel</w:t>
            </w:r>
          </w:p>
        </w:tc>
        <w:tc>
          <w:tcPr>
            <w:tcW w:type="dxa" w:w="2900"/>
            <w:shd w:fill="F2F4EE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During Phase 3 (front end); before any binding use.</w:t>
            </w:r>
          </w:p>
        </w:tc>
        <w:tc>
          <w:tcPr>
            <w:tcW w:type="dxa" w:w="3200"/>
            <w:shd w:fill="F2F4EE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Enrollment tiers, flagging criteria, due process, accessibility, and jurisdiction-specific election law.</w:t>
            </w:r>
          </w:p>
        </w:tc>
      </w:tr>
    </w:tbl>
    <w:p>
      <w:pPr>
        <w:pBdr>
          <w:left w:val="single" w:color="9A6A12" w:sz="18" w:space="14"/>
        </w:pBdr>
        <w:spacing w:after="150" w:before="60"/>
        <w:ind w:left="220"/>
      </w:pPr>
      <w:r>
        <w:rPr>
          <w:rFonts w:ascii="Calibri" w:cs="Calibri" w:eastAsia="Calibri" w:hAnsi="Calibri"/>
          <w:i/>
          <w:iCs/>
          <w:color w:val="16233A"/>
          <w:sz w:val="22"/>
          <w:szCs w:val="22"/>
        </w:rPr>
        <w:t xml:space="preserve">Whether verification is required or voluntary is settled here, with counsel and the jurisdiction — not in code.</w:t>
      </w:r>
    </w:p>
    <w:p>
      <w:pPr>
        <w:pBdr>
          <w:bottom w:val="single" w:color="D3D7CC" w:sz="8" w:space="6"/>
        </w:pBdr>
        <w:spacing w:after="110" w:before="300"/>
      </w:pPr>
      <w:r>
        <w:rPr>
          <w:rFonts w:ascii="Consolas" w:cs="Consolas" w:eastAsia="Consolas" w:hAnsi="Consolas"/>
          <w:b/>
          <w:bCs/>
          <w:color w:val="B5472D"/>
          <w:sz w:val="22"/>
          <w:szCs w:val="22"/>
        </w:rPr>
        <w:t xml:space="preserve">03  </w:t>
      </w:r>
      <w:r>
        <w:rPr>
          <w:rFonts w:ascii="Calibri" w:cs="Calibri" w:eastAsia="Calibri" w:hAnsi="Calibri"/>
          <w:b/>
          <w:bCs/>
          <w:color w:val="16233A"/>
          <w:sz w:val="27"/>
          <w:szCs w:val="27"/>
        </w:rPr>
        <w:t xml:space="preserve">Recommended stack</w:t>
      </w:r>
    </w:p>
    <w:tbl>
      <w:tblPr>
        <w:tblW w:type="dxa" w:w="9000"/>
        <w:tblBorders>
          <w:top w:val="single" w:color="D3D7CC" w:sz="2"/>
          <w:left w:val="none"/>
          <w:bottom w:val="single" w:color="D3D7CC" w:sz="2"/>
          <w:right w:val="none"/>
          <w:insideH w:val="single" w:color="D3D7CC" w:sz="2"/>
          <w:insideV w:val="single" w:color="D3D7CC" w:sz="2"/>
        </w:tblBorders>
      </w:tblPr>
      <w:tblGrid>
        <w:gridCol w:w="3200"/>
        <w:gridCol w:w="5800"/>
      </w:tblGrid>
      <w:tr>
        <w:trPr>
          <w:tblHeader/>
        </w:trPr>
        <w:tc>
          <w:tcPr>
            <w:tcW w:type="dxa" w:w="3200"/>
            <w:shd w:fill="16233A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Layer</w:t>
            </w:r>
          </w:p>
        </w:tc>
        <w:tc>
          <w:tcPr>
            <w:tcW w:type="dxa" w:w="5800"/>
            <w:shd w:fill="16233A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Build on</w:t>
            </w:r>
          </w:p>
        </w:tc>
      </w:tr>
      <w:tr>
        <w:tc>
          <w:tcPr>
            <w:tcW w:type="dxa" w:w="3200"/>
            <w:shd w:fill="FFFFFF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Anonymous tokens</w:t>
            </w:r>
          </w:p>
        </w:tc>
        <w:tc>
          <w:tcPr>
            <w:tcW w:type="dxa" w:w="5800"/>
            <w:shd w:fill="FFFFFF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RFC 9474 (RSA Blind Signatures) via a vetted crypto library</w:t>
            </w:r>
          </w:p>
        </w:tc>
      </w:tr>
      <w:tr>
        <w:tc>
          <w:tcPr>
            <w:tcW w:type="dxa" w:w="3200"/>
            <w:shd w:fill="F2F4EE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Encrypted ballots, guardians, proofs, tally</w:t>
            </w:r>
          </w:p>
        </w:tc>
        <w:tc>
          <w:tcPr>
            <w:tcW w:type="dxa" w:w="5800"/>
            <w:shd w:fill="F2F4EE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ElectionGuard</w:t>
            </w:r>
          </w:p>
        </w:tc>
      </w:tr>
      <w:tr>
        <w:tc>
          <w:tcPr>
            <w:tcW w:type="dxa" w:w="3200"/>
            <w:shd w:fill="FFFFFF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Remote identity proofing</w:t>
            </w:r>
          </w:p>
        </w:tc>
        <w:tc>
          <w:tcPr>
            <w:tcW w:type="dxa" w:w="5800"/>
            <w:shd w:fill="FFFFFF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A compliant RON / identity-proofing provider (approved platform, credentialed notaries)</w:t>
            </w:r>
          </w:p>
        </w:tc>
      </w:tr>
      <w:tr>
        <w:tc>
          <w:tcPr>
            <w:tcW w:type="dxa" w:w="3200"/>
            <w:shd w:fill="F2F4EE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Key custody</w:t>
            </w:r>
          </w:p>
        </w:tc>
        <w:tc>
          <w:tcPr>
            <w:tcW w:type="dxa" w:w="5800"/>
            <w:shd w:fill="F2F4EE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HSMs; guardians on separate, adversarial infrastructure</w:t>
            </w:r>
          </w:p>
        </w:tc>
      </w:tr>
      <w:tr>
        <w:tc>
          <w:tcPr>
            <w:tcW w:type="dxa" w:w="3200"/>
            <w:shd w:fill="FFFFFF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Bulletin board</w:t>
            </w:r>
          </w:p>
        </w:tc>
        <w:tc>
          <w:tcPr>
            <w:tcW w:type="dxa" w:w="5800"/>
            <w:shd w:fill="FFFFFF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Append-only public log (transparency-log design)</w:t>
            </w:r>
          </w:p>
        </w:tc>
      </w:tr>
      <w:tr>
        <w:tc>
          <w:tcPr>
            <w:tcW w:type="dxa" w:w="3200"/>
            <w:shd w:fill="F2F4EE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Audit</w:t>
            </w:r>
          </w:p>
        </w:tc>
        <w:tc>
          <w:tcPr>
            <w:tcW w:type="dxa" w:w="5800"/>
            <w:shd w:fill="F2F4EE" w:color="auto" w:val="clear"/>
            <w:tcMar>
              <w:top w:type="dxa" w:w="56"/>
              <w:left w:type="dxa" w:w="110"/>
              <w:bottom w:type="dxa" w:w="56"/>
              <w:right w:type="dxa" w:w="110"/>
            </w:tcMar>
          </w:tcPr>
          <w:p>
            <w:pPr>
              <w:spacing w:after="0" w:line="256"/>
            </w:pPr>
            <w:r>
              <w:rPr>
                <w:rFonts w:ascii="Calibri" w:cs="Calibri" w:eastAsia="Calibri" w:hAnsi="Calibri"/>
                <w:color w:val="1E2A3A"/>
                <w:sz w:val="20"/>
                <w:szCs w:val="20"/>
              </w:rPr>
              <w:t xml:space="preserve">Voter-verifiable paper + risk-limiting audit</w:t>
            </w:r>
          </w:p>
        </w:tc>
      </w:tr>
    </w:tbl>
    <w:p>
      <w:pPr>
        <w:pBdr>
          <w:bottom w:val="single" w:color="D3D7CC" w:sz="8" w:space="6"/>
        </w:pBdr>
        <w:spacing w:after="110" w:before="300"/>
      </w:pPr>
      <w:r>
        <w:rPr>
          <w:rFonts w:ascii="Consolas" w:cs="Consolas" w:eastAsia="Consolas" w:hAnsi="Consolas"/>
          <w:b/>
          <w:bCs/>
          <w:color w:val="B5472D"/>
          <w:sz w:val="22"/>
          <w:szCs w:val="22"/>
        </w:rPr>
        <w:t xml:space="preserve">04  </w:t>
      </w:r>
      <w:r>
        <w:rPr>
          <w:rFonts w:ascii="Calibri" w:cs="Calibri" w:eastAsia="Calibri" w:hAnsi="Calibri"/>
          <w:b/>
          <w:bCs/>
          <w:color w:val="16233A"/>
          <w:sz w:val="27"/>
          <w:szCs w:val="27"/>
        </w:rPr>
        <w:t xml:space="preserve">Definition of done (before binding use)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Token layer on RFC 9474; single-use enforced.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Tally on ElectionGuard; proofs verify independently; bulletin board public.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Verification front end live, with video + in-person + assisted paths and notice-and-cure.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Paper record + risk-limiting audit in place.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Cryptographer audit passed; election-law counsel sign-off obtained.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>A non-binding pilot run and its audit published.</w:t>
      </w:r>
    </w:p>
    <w:p>
      <w:pPr>
        <w:pBdr>
          <w:bottom w:val="single" w:color="D3D7CC" w:sz="8" w:space="6"/>
        </w:pBdr>
        <w:spacing w:after="110" w:before="300"/>
      </w:pPr>
      <w:r>
        <w:rPr>
          <w:rFonts w:ascii="Consolas" w:cs="Consolas" w:eastAsia="Consolas" w:hAnsi="Consolas"/>
          <w:b/>
          <w:bCs/>
          <w:color w:val="B5472D"/>
          <w:sz w:val="22"/>
          <w:szCs w:val="22"/>
        </w:rPr>
        <w:t xml:space="preserve">05  </w:t>
      </w:r>
      <w:r>
        <w:rPr>
          <w:rFonts w:ascii="Calibri" w:cs="Calibri" w:eastAsia="Calibri" w:hAnsi="Calibri"/>
          <w:b/>
          <w:bCs/>
          <w:color w:val="16233A"/>
          <w:sz w:val="27"/>
          <w:szCs w:val="27"/>
        </w:rPr>
        <w:t xml:space="preserve">How this runs alongside everything else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You can pitch now.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 The strategy, manifesto, one-pager, and web page don’t wait on the build.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Start the dry run early.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 The reference implementation already lets you demonstrate the concept while Phases 1–2 harden it.</w:t>
      </w:r>
    </w:p>
    <w:p>
      <w:pPr>
        <w:pStyle w:val="ListParagraph"/>
        <w:numPr>
          <w:ilvl w:val="0"/>
          <w:numId w:val="2"/>
        </w:numPr>
        <w:spacing w:after="66" w:line="266"/>
      </w:pPr>
      <w:r>
        <w:rPr>
          <w:rFonts w:ascii="Calibri" w:cs="Calibri" w:eastAsia="Calibri" w:hAnsi="Calibri"/>
          <w:b/>
          <w:bCs/>
          <w:color w:val="1E2A3A"/>
          <w:sz w:val="21"/>
          <w:szCs w:val="21"/>
        </w:rPr>
        <w:t xml:space="preserve">First binding pilot</w:t>
      </w:r>
      <w:r>
        <w:rPr>
          <w:rFonts w:ascii="Calibri" w:cs="Calibri" w:eastAsia="Calibri" w:hAnsi="Calibri"/>
          <w:color w:val="1E2A3A"/>
          <w:sz w:val="21"/>
          <w:szCs w:val="21"/>
        </w:rPr>
        <w:t xml:space="preserve"> comes after “definition of done” — with paper fallback and a published audit, per the pilot strategy.</w:t>
      </w:r>
    </w:p>
    <w:p>
      <w:pPr>
        <w:spacing w:after="120"/>
      </w:pPr>
      <w:r>
        <w:rPr>
          <w:rFonts w:ascii="Calibri" w:cs="Calibri" w:eastAsia="Calibri" w:hAnsi="Calibri"/>
          <w:color w:val="1E2A3A"/>
          <w:sz w:val="21"/>
          <w:szCs w:val="21"/>
        </w:rPr>
        <w:t xml:space="preserve"/>
      </w:r>
    </w:p>
    <w:p>
      <w:pPr>
        <w:pBdr>
          <w:top w:val="single" w:color="D3D7CC" w:sz="8" w:space="8"/>
        </w:pBdr>
        <w:spacing w:before="120"/>
      </w:pPr>
      <w:r>
        <w:rPr>
          <w:rFonts w:ascii="Calibri" w:cs="Calibri" w:eastAsia="Calibri" w:hAnsi="Calibri"/>
          <w:i/>
          <w:iCs/>
          <w:color w:val="5C6674"/>
          <w:sz w:val="17"/>
          <w:szCs w:val="17"/>
        </w:rPr>
        <w:t xml:space="preserve">Engineering roadmap and educational material — not legal or security advice. A live, binding election system must not use the reference/demo code in production, and must complete both the cryptographer audit and election-law review first.</w:t>
      </w:r>
    </w:p>
    <w:sectPr>
      <w:pgSz w:w="12240" w:h="15840" w:orient="portrait"/>
      <w:pgMar w:top="1080" w:right="1180" w:bottom="1080" w:left="11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  <w:rPr>
        <w:color w:val="2E7D6B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2026-07-20T00:29:52.616Z</dcterms:created>
  <dcterms:modified xsi:type="dcterms:W3CDTF">2026-07-20T00:29:52.631Z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